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E581" w14:textId="29A22D81" w:rsidR="002655FD" w:rsidRPr="008E5C1B" w:rsidRDefault="008E5C1B" w:rsidP="008E5C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CO"/>
        </w:rPr>
      </w:pPr>
      <w:r w:rsidRPr="008E5C1B">
        <w:rPr>
          <w:rFonts w:ascii="Arial" w:hAnsi="Arial" w:cs="Arial"/>
          <w:b/>
          <w:color w:val="000000" w:themeColor="text1"/>
          <w:sz w:val="28"/>
          <w:szCs w:val="28"/>
          <w:lang w:val="es-CO"/>
        </w:rPr>
        <w:t>CHICAGO</w:t>
      </w:r>
      <w:r w:rsidR="00AF7863">
        <w:rPr>
          <w:rFonts w:ascii="Arial" w:hAnsi="Arial" w:cs="Arial"/>
          <w:b/>
          <w:color w:val="000000" w:themeColor="text1"/>
          <w:sz w:val="28"/>
          <w:szCs w:val="28"/>
          <w:lang w:val="es-CO"/>
        </w:rPr>
        <w:t xml:space="preserve"> INCREIBLE</w:t>
      </w:r>
      <w:r w:rsidRPr="008E5C1B">
        <w:rPr>
          <w:rFonts w:ascii="Arial" w:hAnsi="Arial" w:cs="Arial"/>
          <w:b/>
          <w:color w:val="000000" w:themeColor="text1"/>
          <w:sz w:val="28"/>
          <w:szCs w:val="28"/>
          <w:lang w:val="es-CO"/>
        </w:rPr>
        <w:t xml:space="preserve"> 4 DIAS- 3 NOCHES 202</w:t>
      </w:r>
      <w:r w:rsidR="002A741D">
        <w:rPr>
          <w:rFonts w:ascii="Arial" w:hAnsi="Arial" w:cs="Arial"/>
          <w:b/>
          <w:color w:val="000000" w:themeColor="text1"/>
          <w:sz w:val="28"/>
          <w:szCs w:val="28"/>
          <w:lang w:val="es-CO"/>
        </w:rPr>
        <w:t>4</w:t>
      </w:r>
    </w:p>
    <w:p w14:paraId="0FD23DB0" w14:textId="77777777" w:rsidR="008E5C1B" w:rsidRPr="008E5C1B" w:rsidRDefault="008E5C1B" w:rsidP="008E5C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CO"/>
        </w:rPr>
      </w:pPr>
      <w:r w:rsidRPr="008E5C1B">
        <w:rPr>
          <w:rFonts w:ascii="Arial" w:hAnsi="Arial" w:cs="Arial"/>
          <w:b/>
          <w:color w:val="000000" w:themeColor="text1"/>
          <w:sz w:val="28"/>
          <w:szCs w:val="28"/>
          <w:lang w:val="es-CO"/>
        </w:rPr>
        <w:t>SERVICIOS EN PRIVADO+ TOUR DE LA MAFIA INCLUIDO</w:t>
      </w:r>
    </w:p>
    <w:p w14:paraId="0F9548C8" w14:textId="77777777" w:rsidR="008E5C1B" w:rsidRDefault="008E5C1B" w:rsidP="007232A7">
      <w:pPr>
        <w:rPr>
          <w:lang w:val="es-CO"/>
        </w:rPr>
      </w:pPr>
    </w:p>
    <w:p w14:paraId="6D15CAD7" w14:textId="77777777" w:rsidR="008E5C1B" w:rsidRPr="00AF7863" w:rsidRDefault="008E5C1B" w:rsidP="008E5C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1⁰ Día | LLEGADA A CHICAGO</w:t>
      </w:r>
    </w:p>
    <w:p w14:paraId="78137E0F" w14:textId="60905CCF" w:rsidR="008E5C1B" w:rsidRPr="00AF7863" w:rsidRDefault="008E5C1B" w:rsidP="008E5C1B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>Bienvenido a la ciudad de Chicago! Traslado al hotel</w:t>
      </w:r>
      <w:r w:rsidR="00AF7863"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Hilton Garden </w:t>
      </w:r>
      <w:proofErr w:type="spellStart"/>
      <w:r w:rsidR="00AF7863"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>Inn</w:t>
      </w:r>
      <w:proofErr w:type="spellEnd"/>
      <w:r w:rsidR="00AF7863"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Chicago </w:t>
      </w:r>
      <w:proofErr w:type="spellStart"/>
      <w:r w:rsidR="00AF7863"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>Downtown</w:t>
      </w:r>
      <w:proofErr w:type="spellEnd"/>
      <w:r w:rsidR="00AF7863"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South </w:t>
      </w:r>
      <w:proofErr w:type="spellStart"/>
      <w:r w:rsidR="00AF7863"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>Loop</w:t>
      </w:r>
      <w:proofErr w:type="spellEnd"/>
      <w:r w:rsidR="00AF7863"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(****)</w:t>
      </w:r>
      <w:r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Tiempo libre para explorar la ciudad.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>Check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  <w:lang w:val="es-ES"/>
        </w:rPr>
        <w:t>-in empieza a las 16:00 horas. En caso de llegar más temprano, es posible guardar su equipaje en el hotel y aprovechar la ciudad hasta que su habitación esté lista.</w:t>
      </w:r>
    </w:p>
    <w:p w14:paraId="1ED7EB47" w14:textId="77777777" w:rsidR="008E5C1B" w:rsidRPr="00AF7863" w:rsidRDefault="008E5C1B" w:rsidP="008E5C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69D6F0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2⁰ Día | VISITA A LA CIUDAD (Centro + Sur)</w:t>
      </w:r>
    </w:p>
    <w:p w14:paraId="63678E5A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Visita panorámica en el centro de la ciudad, el “Chicago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Loop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>” donde admiraremos su extraordinaria arquitectura, el barrio financiero donde se encuentra el edificio sede de gobierno, la bolsa de valores de los cereales más importante del mundo “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Board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Trade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>”, la estación de trenes “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Union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Station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”, la torre Willis (antes Sears), así como obras de famosos artistas como Picasso, Chagall, Miro y Calder.  Recorreremos la hermosa avenida Michigan y su “Milla Magnifica”, los edificios del Chicago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Tribune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y Wrigley, el imponente parque Milenio y el majestuoso Instituto de Arte de Chicago, para de ahí continuar hacia el sur al Campus de los Museos, en donde se encuentra ubicado el Museo Field de Historia </w:t>
      </w:r>
      <w:proofErr w:type="gramStart"/>
      <w:r w:rsidRPr="00AF7863">
        <w:rPr>
          <w:rFonts w:ascii="Arial" w:hAnsi="Arial" w:cs="Arial"/>
          <w:color w:val="000000" w:themeColor="text1"/>
          <w:sz w:val="20"/>
          <w:szCs w:val="20"/>
        </w:rPr>
        <w:t>Natural,  el</w:t>
      </w:r>
      <w:proofErr w:type="gram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acuario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Shedd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, el planetario Adler, así como el estadio del Soldado, casa de los Chicago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Bears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6CCF262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Duración: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Aproximadamente 3 horas</w:t>
      </w:r>
    </w:p>
    <w:p w14:paraId="4F7B4B5A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ab/>
      </w:r>
      <w:r w:rsidRPr="00AF7863">
        <w:rPr>
          <w:rFonts w:ascii="Arial" w:hAnsi="Arial" w:cs="Arial"/>
          <w:color w:val="000000" w:themeColor="text1"/>
          <w:sz w:val="20"/>
          <w:szCs w:val="20"/>
        </w:rPr>
        <w:tab/>
      </w:r>
      <w:r w:rsidRPr="00AF7863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806ACE9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3⁰ Día | TOUR DE CHICAGO Y SU MAFIA</w:t>
      </w:r>
    </w:p>
    <w:p w14:paraId="43245218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Chicago es conocida por su pasado de mafiosos,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gangsters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, masacres entre pandilleros y la venta de alcohol en los días de la "Ley Seca". Algunas muestras de ese pasado negro pueden verse aún en este Chicago actual del tercer milenio. Al Capone,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Dillinger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y otros "ciudadanos ilustres" de la ciudad dejaron sus huellas y hoy aún se habla de ellos.</w:t>
      </w:r>
    </w:p>
    <w:p w14:paraId="636E2853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Duración: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Aproximadamente 2 horas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40DEE8B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584FDAB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4⁰ Día | CHECK OUT Y TRASLADO DE SALIDA</w:t>
      </w:r>
    </w:p>
    <w:p w14:paraId="0A048BA6" w14:textId="2F7D46F5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Llega el fin de nuestro paseo. Traslado al aeropuerto </w:t>
      </w:r>
      <w:r w:rsidR="00EC51AD" w:rsidRPr="00AF7863">
        <w:rPr>
          <w:rFonts w:ascii="Arial" w:hAnsi="Arial" w:cs="Arial"/>
          <w:color w:val="000000" w:themeColor="text1"/>
          <w:sz w:val="20"/>
          <w:szCs w:val="20"/>
        </w:rPr>
        <w:t>de acuerdo con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la hora de su vuelo. ¡Buen Viaje! </w:t>
      </w:r>
      <w:proofErr w:type="spellStart"/>
      <w:r w:rsidRPr="00AF7863">
        <w:rPr>
          <w:rFonts w:ascii="Arial" w:hAnsi="Arial" w:cs="Arial"/>
          <w:color w:val="000000" w:themeColor="text1"/>
          <w:sz w:val="20"/>
          <w:szCs w:val="20"/>
        </w:rPr>
        <w:t>Check-out</w:t>
      </w:r>
      <w:proofErr w:type="spellEnd"/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a las 11:00 horas.</w:t>
      </w:r>
    </w:p>
    <w:p w14:paraId="6B6E22F6" w14:textId="77777777" w:rsidR="008E5C1B" w:rsidRPr="00AF7863" w:rsidRDefault="008E5C1B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403864" w14:textId="1B63002D" w:rsidR="008E5C1B" w:rsidRPr="002A741D" w:rsidRDefault="008E5C1B" w:rsidP="008E5C1B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A741D">
        <w:rPr>
          <w:color w:val="000000" w:themeColor="text1"/>
          <w:sz w:val="20"/>
          <w:szCs w:val="20"/>
        </w:rPr>
        <w:t>PRECIOS PORCION TERRESTRE POR PERSONA EN DOLARES:</w:t>
      </w:r>
    </w:p>
    <w:tbl>
      <w:tblPr>
        <w:tblStyle w:val="TableGrid13"/>
        <w:tblpPr w:leftFromText="180" w:rightFromText="180" w:vertAnchor="text" w:horzAnchor="margin" w:tblpY="98"/>
        <w:tblW w:w="10072" w:type="dxa"/>
        <w:tblLayout w:type="fixed"/>
        <w:tblLook w:val="04A0" w:firstRow="1" w:lastRow="0" w:firstColumn="1" w:lastColumn="0" w:noHBand="0" w:noVBand="1"/>
      </w:tblPr>
      <w:tblGrid>
        <w:gridCol w:w="2654"/>
        <w:gridCol w:w="1071"/>
        <w:gridCol w:w="1071"/>
        <w:gridCol w:w="1153"/>
        <w:gridCol w:w="1071"/>
        <w:gridCol w:w="1071"/>
        <w:gridCol w:w="1981"/>
      </w:tblGrid>
      <w:tr w:rsidR="002A741D" w:rsidRPr="002A741D" w14:paraId="70D78998" w14:textId="77777777" w:rsidTr="002A741D">
        <w:trPr>
          <w:trHeight w:val="537"/>
        </w:trPr>
        <w:tc>
          <w:tcPr>
            <w:tcW w:w="10072" w:type="dxa"/>
            <w:gridSpan w:val="7"/>
            <w:shd w:val="clear" w:color="auto" w:fill="404040" w:themeFill="text1" w:themeFillTint="BF"/>
            <w:vAlign w:val="center"/>
          </w:tcPr>
          <w:p w14:paraId="4BCF7565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HILTON GARDEN INN CHICAGO DOWNTOWN SOUTH LOOP (55 E 11th </w:t>
            </w:r>
            <w:proofErr w:type="spellStart"/>
            <w:r w:rsidRPr="002A741D">
              <w:rPr>
                <w:b/>
                <w:color w:val="FFFFFF" w:themeColor="background1"/>
                <w:sz w:val="20"/>
                <w:szCs w:val="20"/>
              </w:rPr>
              <w:t>St</w:t>
            </w:r>
            <w:proofErr w:type="spellEnd"/>
            <w:r w:rsidRPr="002A741D">
              <w:rPr>
                <w:b/>
                <w:color w:val="FFFFFF" w:themeColor="background1"/>
                <w:sz w:val="20"/>
                <w:szCs w:val="20"/>
              </w:rPr>
              <w:t>, Chicago, IL 60605) - O SIMILAR</w:t>
            </w:r>
          </w:p>
        </w:tc>
      </w:tr>
      <w:tr w:rsidR="002A741D" w:rsidRPr="002A741D" w14:paraId="65A305C4" w14:textId="77777777" w:rsidTr="002A741D">
        <w:trPr>
          <w:trHeight w:val="726"/>
        </w:trPr>
        <w:tc>
          <w:tcPr>
            <w:tcW w:w="2654" w:type="dxa"/>
            <w:shd w:val="clear" w:color="auto" w:fill="808080" w:themeFill="background1" w:themeFillShade="80"/>
            <w:vAlign w:val="center"/>
          </w:tcPr>
          <w:p w14:paraId="17C67E43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PRECIOS POR PERSONA</w:t>
            </w:r>
          </w:p>
        </w:tc>
        <w:tc>
          <w:tcPr>
            <w:tcW w:w="1071" w:type="dxa"/>
            <w:shd w:val="clear" w:color="auto" w:fill="808080" w:themeFill="background1" w:themeFillShade="80"/>
            <w:vAlign w:val="center"/>
          </w:tcPr>
          <w:p w14:paraId="34E69580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Single</w:t>
            </w:r>
          </w:p>
          <w:p w14:paraId="0D021C15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t>(1 cama)</w:t>
            </w:r>
          </w:p>
        </w:tc>
        <w:tc>
          <w:tcPr>
            <w:tcW w:w="1071" w:type="dxa"/>
            <w:shd w:val="clear" w:color="auto" w:fill="808080" w:themeFill="background1" w:themeFillShade="80"/>
            <w:vAlign w:val="center"/>
          </w:tcPr>
          <w:p w14:paraId="24FBF72C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Doble</w:t>
            </w:r>
          </w:p>
          <w:p w14:paraId="71460688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(1 cama)</w:t>
            </w:r>
          </w:p>
        </w:tc>
        <w:tc>
          <w:tcPr>
            <w:tcW w:w="1153" w:type="dxa"/>
            <w:shd w:val="clear" w:color="auto" w:fill="808080" w:themeFill="background1" w:themeFillShade="80"/>
            <w:vAlign w:val="center"/>
          </w:tcPr>
          <w:p w14:paraId="26758E69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Twin</w:t>
            </w:r>
          </w:p>
          <w:p w14:paraId="06E5277E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(2 camas)</w:t>
            </w:r>
          </w:p>
        </w:tc>
        <w:tc>
          <w:tcPr>
            <w:tcW w:w="1071" w:type="dxa"/>
            <w:shd w:val="clear" w:color="auto" w:fill="808080" w:themeFill="background1" w:themeFillShade="80"/>
            <w:vAlign w:val="center"/>
          </w:tcPr>
          <w:p w14:paraId="2028BBFB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Triple</w:t>
            </w:r>
          </w:p>
          <w:p w14:paraId="55C0504B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(2 camas)</w:t>
            </w:r>
          </w:p>
        </w:tc>
        <w:tc>
          <w:tcPr>
            <w:tcW w:w="1071" w:type="dxa"/>
            <w:shd w:val="clear" w:color="auto" w:fill="808080" w:themeFill="background1" w:themeFillShade="80"/>
            <w:vAlign w:val="center"/>
          </w:tcPr>
          <w:p w14:paraId="4DD52B5B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Quad</w:t>
            </w:r>
          </w:p>
          <w:p w14:paraId="05ED214C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(2 camas)</w:t>
            </w:r>
          </w:p>
        </w:tc>
        <w:tc>
          <w:tcPr>
            <w:tcW w:w="1978" w:type="dxa"/>
            <w:shd w:val="clear" w:color="auto" w:fill="808080" w:themeFill="background1" w:themeFillShade="80"/>
            <w:vAlign w:val="center"/>
          </w:tcPr>
          <w:p w14:paraId="75230EEA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  <w:lang w:val="pt-PT"/>
              </w:rPr>
              <w:t>Niño: 0 – 16 años</w:t>
            </w:r>
          </w:p>
          <w:p w14:paraId="5D000A96" w14:textId="77777777" w:rsidR="002A741D" w:rsidRPr="002A741D" w:rsidRDefault="002A741D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</w:tr>
      <w:tr w:rsidR="002A741D" w:rsidRPr="002A741D" w14:paraId="2E389E1E" w14:textId="77777777" w:rsidTr="002A741D">
        <w:trPr>
          <w:trHeight w:val="1727"/>
        </w:trPr>
        <w:tc>
          <w:tcPr>
            <w:tcW w:w="2654" w:type="dxa"/>
            <w:shd w:val="clear" w:color="auto" w:fill="808080" w:themeFill="background1" w:themeFillShade="80"/>
            <w:vAlign w:val="center"/>
          </w:tcPr>
          <w:p w14:paraId="3A2111E9" w14:textId="77777777" w:rsidR="002A741D" w:rsidRPr="002A741D" w:rsidRDefault="002A741D" w:rsidP="00AA7586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Febrero 3 - </w:t>
            </w:r>
            <w:proofErr w:type="gramStart"/>
            <w:r w:rsidRPr="002A741D">
              <w:rPr>
                <w:b/>
                <w:color w:val="FFFFFF" w:themeColor="background1"/>
                <w:sz w:val="20"/>
                <w:szCs w:val="20"/>
              </w:rPr>
              <w:t>Marzo</w:t>
            </w:r>
            <w:proofErr w:type="gramEnd"/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 31</w:t>
            </w:r>
          </w:p>
          <w:p w14:paraId="21B8EC17" w14:textId="77777777" w:rsidR="002A741D" w:rsidRPr="002A741D" w:rsidRDefault="002A741D" w:rsidP="00AA7586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Noviembre 19 - </w:t>
            </w:r>
            <w:proofErr w:type="gramStart"/>
            <w:r w:rsidRPr="002A741D">
              <w:rPr>
                <w:b/>
                <w:color w:val="FFFFFF" w:themeColor="background1"/>
                <w:sz w:val="20"/>
                <w:szCs w:val="20"/>
              </w:rPr>
              <w:t>Diciembre</w:t>
            </w:r>
            <w:proofErr w:type="gramEnd"/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 19</w:t>
            </w:r>
          </w:p>
        </w:tc>
        <w:tc>
          <w:tcPr>
            <w:tcW w:w="1071" w:type="dxa"/>
            <w:vAlign w:val="bottom"/>
          </w:tcPr>
          <w:p w14:paraId="4E45FD08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$2.667</w:t>
            </w:r>
          </w:p>
        </w:tc>
        <w:tc>
          <w:tcPr>
            <w:tcW w:w="1071" w:type="dxa"/>
            <w:vAlign w:val="bottom"/>
          </w:tcPr>
          <w:p w14:paraId="6E08EB1A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  $1.333 </w:t>
            </w:r>
          </w:p>
        </w:tc>
        <w:tc>
          <w:tcPr>
            <w:tcW w:w="1153" w:type="dxa"/>
            <w:vAlign w:val="bottom"/>
          </w:tcPr>
          <w:p w14:paraId="6730446C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$1.433 </w:t>
            </w:r>
          </w:p>
        </w:tc>
        <w:tc>
          <w:tcPr>
            <w:tcW w:w="1071" w:type="dxa"/>
            <w:vAlign w:val="bottom"/>
          </w:tcPr>
          <w:p w14:paraId="41BDC65D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$927</w:t>
            </w:r>
          </w:p>
        </w:tc>
        <w:tc>
          <w:tcPr>
            <w:tcW w:w="1071" w:type="dxa"/>
            <w:vAlign w:val="bottom"/>
          </w:tcPr>
          <w:p w14:paraId="286FC38A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 $744</w:t>
            </w:r>
          </w:p>
        </w:tc>
        <w:tc>
          <w:tcPr>
            <w:tcW w:w="1978" w:type="dxa"/>
            <w:vAlign w:val="bottom"/>
          </w:tcPr>
          <w:p w14:paraId="62AD523B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>$708</w:t>
            </w:r>
          </w:p>
        </w:tc>
      </w:tr>
      <w:tr w:rsidR="002A741D" w:rsidRPr="002A741D" w14:paraId="59BAB88E" w14:textId="77777777" w:rsidTr="002A741D">
        <w:trPr>
          <w:trHeight w:val="2267"/>
        </w:trPr>
        <w:tc>
          <w:tcPr>
            <w:tcW w:w="2654" w:type="dxa"/>
            <w:shd w:val="clear" w:color="auto" w:fill="808080" w:themeFill="background1" w:themeFillShade="80"/>
            <w:vAlign w:val="center"/>
          </w:tcPr>
          <w:p w14:paraId="4D16A1F7" w14:textId="77777777" w:rsidR="002A741D" w:rsidRPr="002A741D" w:rsidRDefault="002A741D" w:rsidP="00AA7586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lastRenderedPageBreak/>
              <w:t>Abril 1 - 30</w:t>
            </w:r>
          </w:p>
          <w:p w14:paraId="78505BFD" w14:textId="77777777" w:rsidR="002A741D" w:rsidRPr="002A741D" w:rsidRDefault="002A741D" w:rsidP="00AA7586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t>Mayo 1 - June 24</w:t>
            </w:r>
          </w:p>
          <w:p w14:paraId="3DE60241" w14:textId="77777777" w:rsidR="002A741D" w:rsidRPr="002A741D" w:rsidRDefault="002A741D" w:rsidP="00AA7586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A741D">
              <w:rPr>
                <w:b/>
                <w:color w:val="FFFFFF" w:themeColor="background1"/>
                <w:sz w:val="20"/>
                <w:szCs w:val="20"/>
              </w:rPr>
              <w:t>September</w:t>
            </w:r>
            <w:proofErr w:type="spellEnd"/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 10 - </w:t>
            </w:r>
            <w:proofErr w:type="gramStart"/>
            <w:r w:rsidRPr="002A741D">
              <w:rPr>
                <w:b/>
                <w:color w:val="FFFFFF" w:themeColor="background1"/>
                <w:sz w:val="20"/>
                <w:szCs w:val="20"/>
              </w:rPr>
              <w:t>Octubre</w:t>
            </w:r>
            <w:proofErr w:type="gramEnd"/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 31</w:t>
            </w:r>
          </w:p>
        </w:tc>
        <w:tc>
          <w:tcPr>
            <w:tcW w:w="1071" w:type="dxa"/>
            <w:vAlign w:val="bottom"/>
          </w:tcPr>
          <w:p w14:paraId="3BF14F81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$2.967 </w:t>
            </w:r>
          </w:p>
        </w:tc>
        <w:tc>
          <w:tcPr>
            <w:tcW w:w="1071" w:type="dxa"/>
            <w:vAlign w:val="bottom"/>
          </w:tcPr>
          <w:p w14:paraId="3383E42D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       $1.483 </w:t>
            </w:r>
          </w:p>
        </w:tc>
        <w:tc>
          <w:tcPr>
            <w:tcW w:w="1153" w:type="dxa"/>
            <w:vAlign w:val="bottom"/>
          </w:tcPr>
          <w:p w14:paraId="65D563CB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$1.583 </w:t>
            </w:r>
          </w:p>
        </w:tc>
        <w:tc>
          <w:tcPr>
            <w:tcW w:w="1071" w:type="dxa"/>
            <w:vAlign w:val="bottom"/>
          </w:tcPr>
          <w:p w14:paraId="46624D98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$1.027 </w:t>
            </w:r>
          </w:p>
        </w:tc>
        <w:tc>
          <w:tcPr>
            <w:tcW w:w="1071" w:type="dxa"/>
            <w:vAlign w:val="bottom"/>
          </w:tcPr>
          <w:p w14:paraId="44479ACF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$819 </w:t>
            </w:r>
          </w:p>
        </w:tc>
        <w:tc>
          <w:tcPr>
            <w:tcW w:w="1978" w:type="dxa"/>
            <w:vAlign w:val="bottom"/>
          </w:tcPr>
          <w:p w14:paraId="0A0AC1D5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>$708</w:t>
            </w:r>
          </w:p>
        </w:tc>
      </w:tr>
      <w:tr w:rsidR="002A741D" w:rsidRPr="002A741D" w14:paraId="15FE7165" w14:textId="77777777" w:rsidTr="002A741D">
        <w:trPr>
          <w:trHeight w:val="1152"/>
        </w:trPr>
        <w:tc>
          <w:tcPr>
            <w:tcW w:w="2654" w:type="dxa"/>
            <w:shd w:val="clear" w:color="auto" w:fill="808080" w:themeFill="background1" w:themeFillShade="80"/>
            <w:vAlign w:val="center"/>
          </w:tcPr>
          <w:p w14:paraId="6B4717EB" w14:textId="77777777" w:rsidR="002A741D" w:rsidRPr="002A741D" w:rsidRDefault="002A741D" w:rsidP="00AA7586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June 25 - </w:t>
            </w:r>
            <w:proofErr w:type="spellStart"/>
            <w:r w:rsidRPr="002A741D">
              <w:rPr>
                <w:b/>
                <w:color w:val="FFFFFF" w:themeColor="background1"/>
                <w:sz w:val="20"/>
                <w:szCs w:val="20"/>
              </w:rPr>
              <w:t>September</w:t>
            </w:r>
            <w:proofErr w:type="spellEnd"/>
            <w:r w:rsidRPr="002A741D">
              <w:rPr>
                <w:b/>
                <w:color w:val="FFFFFF" w:themeColor="background1"/>
                <w:sz w:val="20"/>
                <w:szCs w:val="20"/>
              </w:rPr>
              <w:t xml:space="preserve"> 9</w:t>
            </w:r>
          </w:p>
        </w:tc>
        <w:tc>
          <w:tcPr>
            <w:tcW w:w="1071" w:type="dxa"/>
            <w:vAlign w:val="bottom"/>
          </w:tcPr>
          <w:p w14:paraId="216D87A3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$2.817 </w:t>
            </w:r>
          </w:p>
        </w:tc>
        <w:tc>
          <w:tcPr>
            <w:tcW w:w="1071" w:type="dxa"/>
            <w:vAlign w:val="bottom"/>
          </w:tcPr>
          <w:p w14:paraId="01F93609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       $1.408 </w:t>
            </w:r>
          </w:p>
        </w:tc>
        <w:tc>
          <w:tcPr>
            <w:tcW w:w="1153" w:type="dxa"/>
            <w:vAlign w:val="bottom"/>
          </w:tcPr>
          <w:p w14:paraId="509AA520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$1.508 </w:t>
            </w:r>
          </w:p>
        </w:tc>
        <w:tc>
          <w:tcPr>
            <w:tcW w:w="1071" w:type="dxa"/>
            <w:vAlign w:val="bottom"/>
          </w:tcPr>
          <w:p w14:paraId="57BD9CC2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$977</w:t>
            </w:r>
          </w:p>
        </w:tc>
        <w:tc>
          <w:tcPr>
            <w:tcW w:w="1071" w:type="dxa"/>
            <w:vAlign w:val="bottom"/>
          </w:tcPr>
          <w:p w14:paraId="2033B10B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 $782</w:t>
            </w:r>
          </w:p>
        </w:tc>
        <w:tc>
          <w:tcPr>
            <w:tcW w:w="1978" w:type="dxa"/>
            <w:vAlign w:val="bottom"/>
          </w:tcPr>
          <w:p w14:paraId="7A1BC26B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>$708</w:t>
            </w:r>
          </w:p>
        </w:tc>
      </w:tr>
      <w:tr w:rsidR="002A741D" w:rsidRPr="002A741D" w14:paraId="2D8A8E76" w14:textId="77777777" w:rsidTr="002A741D">
        <w:trPr>
          <w:trHeight w:val="1114"/>
        </w:trPr>
        <w:tc>
          <w:tcPr>
            <w:tcW w:w="2654" w:type="dxa"/>
            <w:shd w:val="clear" w:color="auto" w:fill="808080" w:themeFill="background1" w:themeFillShade="80"/>
            <w:vAlign w:val="center"/>
          </w:tcPr>
          <w:p w14:paraId="5D50E02B" w14:textId="77777777" w:rsidR="002A741D" w:rsidRPr="002A741D" w:rsidRDefault="002A741D" w:rsidP="00AA7586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741D">
              <w:rPr>
                <w:b/>
                <w:color w:val="FFFFFF" w:themeColor="background1"/>
                <w:sz w:val="20"/>
                <w:szCs w:val="20"/>
              </w:rPr>
              <w:t>Noviembre 1 - 18</w:t>
            </w:r>
          </w:p>
        </w:tc>
        <w:tc>
          <w:tcPr>
            <w:tcW w:w="1071" w:type="dxa"/>
            <w:vAlign w:val="bottom"/>
          </w:tcPr>
          <w:p w14:paraId="02B4BF78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$3.217</w:t>
            </w:r>
          </w:p>
        </w:tc>
        <w:tc>
          <w:tcPr>
            <w:tcW w:w="1071" w:type="dxa"/>
            <w:vAlign w:val="bottom"/>
          </w:tcPr>
          <w:p w14:paraId="6B221D02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       $1.608 </w:t>
            </w:r>
          </w:p>
        </w:tc>
        <w:tc>
          <w:tcPr>
            <w:tcW w:w="1153" w:type="dxa"/>
            <w:vAlign w:val="bottom"/>
          </w:tcPr>
          <w:p w14:paraId="16BFBB56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$1.708 </w:t>
            </w:r>
          </w:p>
        </w:tc>
        <w:tc>
          <w:tcPr>
            <w:tcW w:w="1071" w:type="dxa"/>
            <w:vAlign w:val="bottom"/>
          </w:tcPr>
          <w:p w14:paraId="5482821F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$1.110 </w:t>
            </w:r>
          </w:p>
        </w:tc>
        <w:tc>
          <w:tcPr>
            <w:tcW w:w="1071" w:type="dxa"/>
            <w:vAlign w:val="bottom"/>
          </w:tcPr>
          <w:p w14:paraId="2DC6BBBA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                       $882 </w:t>
            </w:r>
          </w:p>
        </w:tc>
        <w:tc>
          <w:tcPr>
            <w:tcW w:w="1978" w:type="dxa"/>
            <w:vAlign w:val="bottom"/>
          </w:tcPr>
          <w:p w14:paraId="3C1C8797" w14:textId="77777777" w:rsidR="002A741D" w:rsidRPr="002A741D" w:rsidRDefault="002A741D" w:rsidP="00AA758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A741D">
              <w:rPr>
                <w:color w:val="000000"/>
                <w:sz w:val="20"/>
                <w:szCs w:val="20"/>
              </w:rPr>
              <w:t xml:space="preserve"> $708</w:t>
            </w:r>
          </w:p>
        </w:tc>
      </w:tr>
    </w:tbl>
    <w:p w14:paraId="63821347" w14:textId="77777777" w:rsidR="005E1E14" w:rsidRDefault="005E1E14" w:rsidP="008E5C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B06ED8" w14:textId="77777777" w:rsidR="002A741D" w:rsidRPr="00ED6B0F" w:rsidRDefault="002A741D" w:rsidP="002A741D">
      <w:pPr>
        <w:autoSpaceDE w:val="0"/>
        <w:autoSpaceDN w:val="0"/>
        <w:adjustRightInd w:val="0"/>
        <w:spacing w:line="240" w:lineRule="atLeast"/>
        <w:rPr>
          <w:rFonts w:cstheme="minorHAnsi"/>
          <w:iCs/>
          <w:color w:val="1F497D" w:themeColor="text2"/>
        </w:rPr>
      </w:pPr>
      <w:r w:rsidRPr="00ED6B0F">
        <w:rPr>
          <w:rFonts w:cstheme="minorHAnsi"/>
          <w:b/>
          <w:iCs/>
          <w:color w:val="1F497D" w:themeColor="text2"/>
        </w:rPr>
        <w:t>Salidas:</w:t>
      </w:r>
      <w:r w:rsidRPr="00ED6B0F">
        <w:rPr>
          <w:rFonts w:cstheme="minorHAnsi"/>
          <w:iCs/>
          <w:color w:val="1F497D" w:themeColor="text2"/>
        </w:rPr>
        <w:t xml:space="preserve"> Diariamente entre </w:t>
      </w:r>
      <w:proofErr w:type="gramStart"/>
      <w:r w:rsidRPr="00ED6B0F">
        <w:rPr>
          <w:rFonts w:cstheme="minorHAnsi"/>
          <w:iCs/>
          <w:color w:val="1F497D" w:themeColor="text2"/>
        </w:rPr>
        <w:t>Febrero</w:t>
      </w:r>
      <w:proofErr w:type="gramEnd"/>
      <w:r w:rsidRPr="00ED6B0F">
        <w:rPr>
          <w:rFonts w:cstheme="minorHAnsi"/>
          <w:iCs/>
          <w:color w:val="1F497D" w:themeColor="text2"/>
        </w:rPr>
        <w:t xml:space="preserve"> 3 hasta Diciembre 19, 2024 </w:t>
      </w:r>
    </w:p>
    <w:p w14:paraId="05993C2C" w14:textId="77777777" w:rsidR="002A741D" w:rsidRPr="00ED6B0F" w:rsidRDefault="002A741D" w:rsidP="002A741D">
      <w:pPr>
        <w:autoSpaceDE w:val="0"/>
        <w:autoSpaceDN w:val="0"/>
        <w:adjustRightInd w:val="0"/>
        <w:spacing w:line="240" w:lineRule="atLeast"/>
        <w:rPr>
          <w:rFonts w:cstheme="minorHAnsi"/>
          <w:color w:val="1F497D" w:themeColor="text2"/>
        </w:rPr>
      </w:pPr>
      <w:proofErr w:type="spellStart"/>
      <w:r w:rsidRPr="00ED6B0F">
        <w:rPr>
          <w:rFonts w:cstheme="minorHAnsi"/>
          <w:b/>
          <w:color w:val="1F497D" w:themeColor="text2"/>
        </w:rPr>
        <w:t>Facility</w:t>
      </w:r>
      <w:proofErr w:type="spellEnd"/>
      <w:r w:rsidRPr="00ED6B0F">
        <w:rPr>
          <w:rFonts w:cstheme="minorHAnsi"/>
          <w:b/>
          <w:color w:val="1F497D" w:themeColor="text2"/>
        </w:rPr>
        <w:t xml:space="preserve"> fee</w:t>
      </w:r>
      <w:r w:rsidRPr="00ED6B0F">
        <w:rPr>
          <w:rFonts w:cstheme="minorHAnsi"/>
          <w:color w:val="1F497D" w:themeColor="text2"/>
        </w:rPr>
        <w:t xml:space="preserve">: $37.00 por noche y por habitación + tasas, debe ser pagado localmente por el pasajero. </w:t>
      </w:r>
    </w:p>
    <w:p w14:paraId="62A62672" w14:textId="77777777" w:rsidR="002A741D" w:rsidRPr="00ED6B0F" w:rsidRDefault="002A741D" w:rsidP="002A741D">
      <w:pPr>
        <w:autoSpaceDE w:val="0"/>
        <w:autoSpaceDN w:val="0"/>
        <w:adjustRightInd w:val="0"/>
        <w:spacing w:line="240" w:lineRule="atLeast"/>
        <w:rPr>
          <w:rFonts w:cstheme="minorHAnsi"/>
          <w:bCs/>
          <w:color w:val="FF0000"/>
        </w:rPr>
      </w:pPr>
      <w:r w:rsidRPr="00ED6B0F">
        <w:rPr>
          <w:rFonts w:cstheme="minorHAnsi"/>
          <w:b/>
          <w:color w:val="FF0000"/>
        </w:rPr>
        <w:t xml:space="preserve">Fechas cerradas: </w:t>
      </w:r>
      <w:r w:rsidRPr="00ED6B0F">
        <w:rPr>
          <w:rFonts w:cstheme="minorHAnsi"/>
          <w:bCs/>
          <w:color w:val="FF0000"/>
        </w:rPr>
        <w:t xml:space="preserve">Año Nuevo (01 – 05 </w:t>
      </w:r>
      <w:proofErr w:type="gramStart"/>
      <w:r w:rsidRPr="00ED6B0F">
        <w:rPr>
          <w:rFonts w:cstheme="minorHAnsi"/>
          <w:bCs/>
          <w:color w:val="FF0000"/>
        </w:rPr>
        <w:t>Enero</w:t>
      </w:r>
      <w:proofErr w:type="gramEnd"/>
      <w:r w:rsidRPr="00ED6B0F">
        <w:rPr>
          <w:rFonts w:cstheme="minorHAnsi"/>
          <w:bCs/>
          <w:color w:val="FF0000"/>
        </w:rPr>
        <w:t xml:space="preserve">), Viernes Santo (25-31 Marzo &amp; 01-03 Abril), Memorial Day (23 - 31 Mayo &amp; 01, 30 Junio), Independencia (01 – 08 Julio), Labor Day (29-31 Agosto &amp; 01 – 07 Septiembre), </w:t>
      </w:r>
      <w:proofErr w:type="spellStart"/>
      <w:r w:rsidRPr="00ED6B0F">
        <w:rPr>
          <w:rFonts w:cstheme="minorHAnsi"/>
          <w:bCs/>
          <w:color w:val="FF0000"/>
        </w:rPr>
        <w:t>Thanksgiving</w:t>
      </w:r>
      <w:proofErr w:type="spellEnd"/>
      <w:r w:rsidRPr="00ED6B0F">
        <w:rPr>
          <w:rFonts w:cstheme="minorHAnsi"/>
          <w:bCs/>
          <w:color w:val="FF0000"/>
        </w:rPr>
        <w:t xml:space="preserve"> (24 – 30 Noviembre), Navidad (01 - 03, 20 – 30 Diciembre) y Año Nuevo (31 Diciembre).</w:t>
      </w:r>
    </w:p>
    <w:p w14:paraId="7A5593DB" w14:textId="77777777" w:rsidR="002A741D" w:rsidRPr="002A741D" w:rsidRDefault="002A741D" w:rsidP="002A741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52FB103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EL PRECIO INCLUYE:</w:t>
      </w:r>
    </w:p>
    <w:p w14:paraId="51A6A265" w14:textId="00FB159B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• 3 noches </w:t>
      </w:r>
      <w:r w:rsidR="00AF7863" w:rsidRPr="00AF7863">
        <w:rPr>
          <w:rFonts w:ascii="Arial" w:hAnsi="Arial" w:cs="Arial"/>
          <w:color w:val="000000" w:themeColor="text1"/>
          <w:sz w:val="20"/>
          <w:szCs w:val="20"/>
        </w:rPr>
        <w:t>de hospedaje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en hotel 4* estrellas;</w:t>
      </w:r>
    </w:p>
    <w:p w14:paraId="00B0E286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Traslados de llegada + salida en privado;</w:t>
      </w:r>
    </w:p>
    <w:p w14:paraId="1CEEDC63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City Tour en español, en privado;</w:t>
      </w:r>
    </w:p>
    <w:p w14:paraId="1289942A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Tour de Chicago y su Mafia en español, en privado.</w:t>
      </w:r>
    </w:p>
    <w:p w14:paraId="4305D833" w14:textId="77777777" w:rsidR="005E1E14" w:rsidRPr="00AF7863" w:rsidRDefault="005E1E14" w:rsidP="005E1E1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4402EB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EL PRECIO NO INCLUYE:</w:t>
      </w:r>
    </w:p>
    <w:p w14:paraId="1630C033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Pasajes aéreos;</w:t>
      </w:r>
    </w:p>
    <w:p w14:paraId="674A1B4C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• Guía acompañante; </w:t>
      </w:r>
    </w:p>
    <w:p w14:paraId="21062A59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•Desayuno, almuerzo o cena en cualquiera de los días;</w:t>
      </w:r>
    </w:p>
    <w:p w14:paraId="049355DA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Admisiones a museos, edificios y monumentos que no están especificados con la palabra ‘’incluido’’ al lado;</w:t>
      </w:r>
    </w:p>
    <w:p w14:paraId="2351448B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Servicio de maleteros.</w:t>
      </w:r>
    </w:p>
    <w:p w14:paraId="7FBF52BF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*Gastos financieros</w:t>
      </w:r>
    </w:p>
    <w:p w14:paraId="69D669D0" w14:textId="77777777" w:rsidR="005E1E14" w:rsidRDefault="005E1E14" w:rsidP="005E1E1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2C1C4D" w14:textId="77777777" w:rsidR="002A741D" w:rsidRDefault="002A741D" w:rsidP="005E1E1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A354C3" w14:textId="77777777" w:rsidR="002A741D" w:rsidRDefault="002A741D" w:rsidP="005E1E1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E99391" w14:textId="77777777" w:rsidR="002A741D" w:rsidRDefault="002A741D" w:rsidP="005E1E1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B0B2D8" w14:textId="77777777" w:rsidR="002A741D" w:rsidRPr="00AF7863" w:rsidRDefault="002A741D" w:rsidP="005E1E1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A6374A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NOTAS: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0A3ECD9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Precios no son válidos para estadías no mencionadas en la tabla de precios;</w:t>
      </w:r>
    </w:p>
    <w:p w14:paraId="6BC207F0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La hora de inicio de los paseos puede cambiar. En caso de algún cambio, la información será comunicada al pasajero</w:t>
      </w: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>con el nuevo</w:t>
      </w: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>horario;</w:t>
      </w:r>
    </w:p>
    <w:p w14:paraId="0DB76A7E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Es obligatorio tener visa para los Estados Unidos;</w:t>
      </w:r>
    </w:p>
    <w:p w14:paraId="507D1141" w14:textId="77777777" w:rsidR="005E1E14" w:rsidRPr="00AF7863" w:rsidRDefault="005E1E14" w:rsidP="005E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• Se aplica un suplemento adicional de $42 por servicio para llegadas Internacionales, traslados en días feriados, y traslados nocturnos con vuelos llegando o saliendo entre las 22:00-06:00hrs; </w:t>
      </w:r>
    </w:p>
    <w:p w14:paraId="04F4F6E0" w14:textId="0D3E4510" w:rsidR="005E1E14" w:rsidRPr="00AF7863" w:rsidRDefault="005E1E14" w:rsidP="002A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• En caso de que sea necesario (eventos, cierre de venta, disponibilidad), se utilizará un hotel de categoría similar;</w:t>
      </w:r>
    </w:p>
    <w:p w14:paraId="44AF9FA1" w14:textId="77777777" w:rsidR="005E1E14" w:rsidRPr="00AF7863" w:rsidRDefault="005E1E14" w:rsidP="007232A7">
      <w:pPr>
        <w:rPr>
          <w:rFonts w:ascii="Arial" w:hAnsi="Arial" w:cs="Arial"/>
          <w:sz w:val="20"/>
          <w:szCs w:val="20"/>
          <w:lang w:val="es-CO"/>
        </w:rPr>
      </w:pPr>
    </w:p>
    <w:p w14:paraId="208BBC6E" w14:textId="77777777" w:rsidR="00A058B8" w:rsidRPr="00AF7863" w:rsidRDefault="00A058B8" w:rsidP="00A05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PLAZOS PARA CANCELACIÓN: </w:t>
      </w:r>
    </w:p>
    <w:p w14:paraId="2BC892BE" w14:textId="77777777" w:rsidR="00A058B8" w:rsidRPr="00AF7863" w:rsidRDefault="00A058B8" w:rsidP="00A058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15 – 7 días antes de la partida: 50% de gastos </w:t>
      </w:r>
    </w:p>
    <w:p w14:paraId="48B24124" w14:textId="77777777" w:rsidR="00A058B8" w:rsidRPr="00AF7863" w:rsidRDefault="00A058B8" w:rsidP="00A058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6 – 0 días antes de la partida: 100% de gastos </w:t>
      </w:r>
    </w:p>
    <w:p w14:paraId="7979CBCE" w14:textId="77777777" w:rsidR="00A058B8" w:rsidRPr="00AF7863" w:rsidRDefault="00A058B8" w:rsidP="00A058B8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>*Una vez emitidos los pases de Disney, no son reembolsables</w:t>
      </w:r>
    </w:p>
    <w:p w14:paraId="508C93D9" w14:textId="77777777" w:rsidR="00A058B8" w:rsidRPr="00AF7863" w:rsidRDefault="00A058B8" w:rsidP="00A058B8">
      <w:pPr>
        <w:tabs>
          <w:tab w:val="left" w:pos="-720"/>
        </w:tabs>
        <w:spacing w:line="24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C10C8F8" w14:textId="77777777" w:rsidR="00A058B8" w:rsidRPr="00AF7863" w:rsidRDefault="00A058B8" w:rsidP="00A058B8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b/>
          <w:bCs/>
          <w:color w:val="000000" w:themeColor="text1"/>
          <w:sz w:val="20"/>
          <w:szCs w:val="20"/>
        </w:rPr>
        <w:t>DOCUMENTACION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>: AEROVISION S.A.S., se hace responsable por la prestación</w:t>
      </w:r>
    </w:p>
    <w:p w14:paraId="6AFAA377" w14:textId="08F3B57A" w:rsidR="00A058B8" w:rsidRPr="00AF7863" w:rsidRDefault="00A058B8" w:rsidP="00A058B8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de los servicios terrestres en su calidad de intermediario entre el operador y la agencia de viajes que efectúa la </w:t>
      </w:r>
      <w:r w:rsidR="00AF7863" w:rsidRPr="00AF7863">
        <w:rPr>
          <w:rFonts w:ascii="Arial" w:hAnsi="Arial" w:cs="Arial"/>
          <w:color w:val="000000" w:themeColor="text1"/>
          <w:sz w:val="20"/>
          <w:szCs w:val="20"/>
        </w:rPr>
        <w:t>venta. En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ningún momento AEROVISION S.A.S., asume ningún tipo de </w:t>
      </w:r>
      <w:r w:rsidR="002A741D" w:rsidRPr="00AF7863">
        <w:rPr>
          <w:rFonts w:ascii="Arial" w:hAnsi="Arial" w:cs="Arial"/>
          <w:color w:val="000000" w:themeColor="text1"/>
          <w:sz w:val="20"/>
          <w:szCs w:val="20"/>
        </w:rPr>
        <w:t>responsabilidad en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el caso de que faltare o estuviera incompleta la documentación tanto para salir de Colombia, como para ingresar a alguno de los países que así lo requieran. </w:t>
      </w:r>
    </w:p>
    <w:p w14:paraId="2C5DF01D" w14:textId="77777777" w:rsidR="00A058B8" w:rsidRPr="00AF7863" w:rsidRDefault="00A058B8" w:rsidP="00A058B8">
      <w:pPr>
        <w:tabs>
          <w:tab w:val="left" w:pos="-720"/>
        </w:tabs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D140F5" w14:textId="77777777" w:rsidR="00A058B8" w:rsidRPr="00AF7863" w:rsidRDefault="00A058B8" w:rsidP="00A058B8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ab/>
        <w:t>CLAÚSULA DE RESPONSABILIDAD:</w:t>
      </w:r>
    </w:p>
    <w:p w14:paraId="38B5C83A" w14:textId="1B2FE504" w:rsidR="00A058B8" w:rsidRPr="00AF7863" w:rsidRDefault="00A058B8" w:rsidP="00A058B8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El organizador de esta </w:t>
      </w:r>
      <w:r w:rsidR="00AF7863" w:rsidRPr="00AF7863">
        <w:rPr>
          <w:rFonts w:ascii="Arial" w:hAnsi="Arial" w:cs="Arial"/>
          <w:color w:val="000000" w:themeColor="text1"/>
          <w:sz w:val="20"/>
          <w:szCs w:val="20"/>
        </w:rPr>
        <w:t>promoción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7863">
        <w:rPr>
          <w:rFonts w:ascii="Arial" w:hAnsi="Arial" w:cs="Arial"/>
          <w:b/>
          <w:color w:val="000000" w:themeColor="text1"/>
          <w:sz w:val="20"/>
          <w:szCs w:val="20"/>
        </w:rPr>
        <w:t>AEROVISION S.A.S.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de Medellín, con registro nacional de turismo No. 5256 se acoge en su integridad a la ley 300 de 1.996.</w:t>
      </w:r>
    </w:p>
    <w:p w14:paraId="30CF2F04" w14:textId="7757EC5F" w:rsidR="00A058B8" w:rsidRPr="00AF7863" w:rsidRDefault="00A058B8" w:rsidP="00A058B8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El abuso y la explotación sexual de menores de edad es sancionado con pena privativa de la libertad de </w:t>
      </w:r>
      <w:r w:rsidR="00AF7863" w:rsidRPr="00AF7863">
        <w:rPr>
          <w:rFonts w:ascii="Arial" w:hAnsi="Arial" w:cs="Arial"/>
          <w:color w:val="000000" w:themeColor="text1"/>
          <w:sz w:val="20"/>
          <w:szCs w:val="20"/>
        </w:rPr>
        <w:t>conformidad con</w:t>
      </w:r>
      <w:r w:rsidRPr="00AF7863">
        <w:rPr>
          <w:rFonts w:ascii="Arial" w:hAnsi="Arial" w:cs="Arial"/>
          <w:color w:val="000000" w:themeColor="text1"/>
          <w:sz w:val="20"/>
          <w:szCs w:val="20"/>
        </w:rPr>
        <w:t xml:space="preserve"> lo previsto en la ley 679 de 2001</w:t>
      </w:r>
    </w:p>
    <w:p w14:paraId="174B6D0B" w14:textId="77777777" w:rsidR="00A058B8" w:rsidRPr="00AF7863" w:rsidRDefault="00A058B8" w:rsidP="00A058B8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3A30880" w14:textId="029FE1B9" w:rsidR="00A058B8" w:rsidRPr="00AF7863" w:rsidRDefault="00A058B8" w:rsidP="00A058B8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Cs/>
          <w:sz w:val="20"/>
          <w:szCs w:val="20"/>
        </w:rPr>
      </w:pPr>
      <w:r w:rsidRPr="00AF78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ACTUALIZADO: </w:t>
      </w:r>
      <w:r w:rsidR="002A741D">
        <w:rPr>
          <w:rFonts w:ascii="Arial" w:hAnsi="Arial" w:cs="Arial"/>
          <w:b/>
          <w:bCs/>
          <w:color w:val="000000" w:themeColor="text1"/>
          <w:sz w:val="20"/>
          <w:szCs w:val="20"/>
        </w:rPr>
        <w:t>febrero 14 de 2024</w:t>
      </w:r>
    </w:p>
    <w:sectPr w:rsidR="00A058B8" w:rsidRPr="00AF7863" w:rsidSect="00735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0DD5" w14:textId="77777777" w:rsidR="00735866" w:rsidRDefault="00735866" w:rsidP="00BF1896">
      <w:r>
        <w:separator/>
      </w:r>
    </w:p>
  </w:endnote>
  <w:endnote w:type="continuationSeparator" w:id="0">
    <w:p w14:paraId="2B509BA1" w14:textId="77777777" w:rsidR="00735866" w:rsidRDefault="00735866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2B77" w14:textId="77777777" w:rsidR="008E5C1B" w:rsidRDefault="008E5C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461D" w14:textId="77777777" w:rsidR="00BF1896" w:rsidRDefault="00BF1896">
    <w:pPr>
      <w:pStyle w:val="Piedepgina"/>
    </w:pPr>
  </w:p>
  <w:p w14:paraId="1CA789D3" w14:textId="77777777" w:rsidR="00BF1896" w:rsidRDefault="00BF1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A314" w14:textId="77777777" w:rsidR="008E5C1B" w:rsidRDefault="008E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8F53" w14:textId="77777777" w:rsidR="00735866" w:rsidRDefault="00735866" w:rsidP="00BF1896">
      <w:r>
        <w:separator/>
      </w:r>
    </w:p>
  </w:footnote>
  <w:footnote w:type="continuationSeparator" w:id="0">
    <w:p w14:paraId="32731EC6" w14:textId="77777777" w:rsidR="00735866" w:rsidRDefault="00735866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6587" w14:textId="77777777" w:rsidR="008E5C1B" w:rsidRDefault="008E5C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F955" w14:textId="77777777" w:rsidR="00BF1896" w:rsidRDefault="0043728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400BF3A1" wp14:editId="258E4706">
          <wp:simplePos x="0" y="0"/>
          <wp:positionH relativeFrom="column">
            <wp:posOffset>-1132840</wp:posOffset>
          </wp:positionH>
          <wp:positionV relativeFrom="paragraph">
            <wp:posOffset>-192405</wp:posOffset>
          </wp:positionV>
          <wp:extent cx="7953375" cy="10107295"/>
          <wp:effectExtent l="0" t="0" r="9525" b="8255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2EDF8" w14:textId="77777777" w:rsidR="00BF1896" w:rsidRDefault="00BF1896">
    <w:pPr>
      <w:pStyle w:val="Encabezado"/>
    </w:pPr>
  </w:p>
  <w:p w14:paraId="243036DC" w14:textId="77777777" w:rsidR="00BF1896" w:rsidRDefault="00BF1896">
    <w:pPr>
      <w:pStyle w:val="Encabezado"/>
    </w:pPr>
  </w:p>
  <w:p w14:paraId="68B561D2" w14:textId="77777777" w:rsidR="00BF1896" w:rsidRDefault="00BF1896">
    <w:pPr>
      <w:pStyle w:val="Encabezado"/>
    </w:pPr>
  </w:p>
  <w:p w14:paraId="1176B592" w14:textId="77777777" w:rsidR="00BF1896" w:rsidRDefault="00BF1896">
    <w:pPr>
      <w:pStyle w:val="Encabezado"/>
    </w:pPr>
  </w:p>
  <w:p w14:paraId="12205452" w14:textId="77777777" w:rsidR="00BF1896" w:rsidRDefault="00BF1896">
    <w:pPr>
      <w:pStyle w:val="Encabezado"/>
    </w:pPr>
  </w:p>
  <w:p w14:paraId="7D4F7CB1" w14:textId="77777777" w:rsidR="00BF1896" w:rsidRDefault="00BF1896">
    <w:pPr>
      <w:pStyle w:val="Encabezado"/>
    </w:pPr>
  </w:p>
  <w:p w14:paraId="6D6F8743" w14:textId="77777777" w:rsidR="00BF1896" w:rsidRDefault="00BF1896">
    <w:pPr>
      <w:pStyle w:val="Encabezado"/>
    </w:pPr>
  </w:p>
  <w:p w14:paraId="6AA50402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D728" w14:textId="77777777" w:rsidR="008E5C1B" w:rsidRDefault="008E5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AD11D8E"/>
    <w:multiLevelType w:val="hybridMultilevel"/>
    <w:tmpl w:val="10AC10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AAD"/>
    <w:multiLevelType w:val="hybridMultilevel"/>
    <w:tmpl w:val="1B4C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3EA"/>
    <w:multiLevelType w:val="hybridMultilevel"/>
    <w:tmpl w:val="931E5580"/>
    <w:lvl w:ilvl="0" w:tplc="768E9050">
      <w:numFmt w:val="bullet"/>
      <w:lvlText w:val=""/>
      <w:lvlJc w:val="left"/>
      <w:pPr>
        <w:ind w:left="355" w:hanging="299"/>
      </w:pPr>
      <w:rPr>
        <w:rFonts w:ascii="Wingdings" w:eastAsia="Wingdings" w:hAnsi="Wingdings" w:cs="Wingdings" w:hint="default"/>
        <w:color w:val="2B2A29"/>
        <w:w w:val="104"/>
        <w:sz w:val="13"/>
        <w:szCs w:val="13"/>
      </w:rPr>
    </w:lvl>
    <w:lvl w:ilvl="1" w:tplc="F3BAAB64">
      <w:numFmt w:val="bullet"/>
      <w:lvlText w:val="•"/>
      <w:lvlJc w:val="left"/>
      <w:pPr>
        <w:ind w:left="862" w:hanging="299"/>
      </w:pPr>
      <w:rPr>
        <w:rFonts w:hint="default"/>
      </w:rPr>
    </w:lvl>
    <w:lvl w:ilvl="2" w:tplc="CA5CE8D6">
      <w:numFmt w:val="bullet"/>
      <w:lvlText w:val="•"/>
      <w:lvlJc w:val="left"/>
      <w:pPr>
        <w:ind w:left="1365" w:hanging="299"/>
      </w:pPr>
      <w:rPr>
        <w:rFonts w:hint="default"/>
      </w:rPr>
    </w:lvl>
    <w:lvl w:ilvl="3" w:tplc="FA46DA46">
      <w:numFmt w:val="bullet"/>
      <w:lvlText w:val="•"/>
      <w:lvlJc w:val="left"/>
      <w:pPr>
        <w:ind w:left="1868" w:hanging="299"/>
      </w:pPr>
      <w:rPr>
        <w:rFonts w:hint="default"/>
      </w:rPr>
    </w:lvl>
    <w:lvl w:ilvl="4" w:tplc="69AE9624">
      <w:numFmt w:val="bullet"/>
      <w:lvlText w:val="•"/>
      <w:lvlJc w:val="left"/>
      <w:pPr>
        <w:ind w:left="2371" w:hanging="299"/>
      </w:pPr>
      <w:rPr>
        <w:rFonts w:hint="default"/>
      </w:rPr>
    </w:lvl>
    <w:lvl w:ilvl="5" w:tplc="53346F98">
      <w:numFmt w:val="bullet"/>
      <w:lvlText w:val="•"/>
      <w:lvlJc w:val="left"/>
      <w:pPr>
        <w:ind w:left="2874" w:hanging="299"/>
      </w:pPr>
      <w:rPr>
        <w:rFonts w:hint="default"/>
      </w:rPr>
    </w:lvl>
    <w:lvl w:ilvl="6" w:tplc="BC7A11FA">
      <w:numFmt w:val="bullet"/>
      <w:lvlText w:val="•"/>
      <w:lvlJc w:val="left"/>
      <w:pPr>
        <w:ind w:left="3376" w:hanging="299"/>
      </w:pPr>
      <w:rPr>
        <w:rFonts w:hint="default"/>
      </w:rPr>
    </w:lvl>
    <w:lvl w:ilvl="7" w:tplc="FC5C0DB6">
      <w:numFmt w:val="bullet"/>
      <w:lvlText w:val="•"/>
      <w:lvlJc w:val="left"/>
      <w:pPr>
        <w:ind w:left="3879" w:hanging="299"/>
      </w:pPr>
      <w:rPr>
        <w:rFonts w:hint="default"/>
      </w:rPr>
    </w:lvl>
    <w:lvl w:ilvl="8" w:tplc="51BE67BA">
      <w:numFmt w:val="bullet"/>
      <w:lvlText w:val="•"/>
      <w:lvlJc w:val="left"/>
      <w:pPr>
        <w:ind w:left="4382" w:hanging="299"/>
      </w:pPr>
      <w:rPr>
        <w:rFonts w:hint="default"/>
      </w:rPr>
    </w:lvl>
  </w:abstractNum>
  <w:abstractNum w:abstractNumId="7" w15:restartNumberingAfterBreak="0">
    <w:nsid w:val="406D5D12"/>
    <w:multiLevelType w:val="hybridMultilevel"/>
    <w:tmpl w:val="6FD00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A58"/>
    <w:multiLevelType w:val="hybridMultilevel"/>
    <w:tmpl w:val="35A67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0AEB"/>
    <w:multiLevelType w:val="multilevel"/>
    <w:tmpl w:val="F9C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15A6"/>
    <w:multiLevelType w:val="multilevel"/>
    <w:tmpl w:val="7D7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770402">
    <w:abstractNumId w:val="10"/>
  </w:num>
  <w:num w:numId="2" w16cid:durableId="868950438">
    <w:abstractNumId w:val="4"/>
  </w:num>
  <w:num w:numId="3" w16cid:durableId="1947693406">
    <w:abstractNumId w:val="2"/>
  </w:num>
  <w:num w:numId="4" w16cid:durableId="500896904">
    <w:abstractNumId w:val="8"/>
  </w:num>
  <w:num w:numId="5" w16cid:durableId="156767539">
    <w:abstractNumId w:val="3"/>
  </w:num>
  <w:num w:numId="6" w16cid:durableId="1639914129">
    <w:abstractNumId w:val="11"/>
  </w:num>
  <w:num w:numId="7" w16cid:durableId="586034632">
    <w:abstractNumId w:val="12"/>
  </w:num>
  <w:num w:numId="8" w16cid:durableId="403527622">
    <w:abstractNumId w:val="6"/>
  </w:num>
  <w:num w:numId="9" w16cid:durableId="1413744736">
    <w:abstractNumId w:val="5"/>
  </w:num>
  <w:num w:numId="10" w16cid:durableId="1396123871">
    <w:abstractNumId w:val="7"/>
  </w:num>
  <w:num w:numId="11" w16cid:durableId="1463306357">
    <w:abstractNumId w:val="9"/>
  </w:num>
  <w:num w:numId="12" w16cid:durableId="1089933518">
    <w:abstractNumId w:val="0"/>
  </w:num>
  <w:num w:numId="13" w16cid:durableId="184512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52F3"/>
    <w:rsid w:val="00057638"/>
    <w:rsid w:val="000978FB"/>
    <w:rsid w:val="000B338A"/>
    <w:rsid w:val="000F7918"/>
    <w:rsid w:val="000F7A0A"/>
    <w:rsid w:val="0011077B"/>
    <w:rsid w:val="00127571"/>
    <w:rsid w:val="00140B96"/>
    <w:rsid w:val="001E476D"/>
    <w:rsid w:val="00230E5C"/>
    <w:rsid w:val="00241975"/>
    <w:rsid w:val="00245682"/>
    <w:rsid w:val="0025312F"/>
    <w:rsid w:val="002655FD"/>
    <w:rsid w:val="00283F43"/>
    <w:rsid w:val="00285EAF"/>
    <w:rsid w:val="002A741D"/>
    <w:rsid w:val="002E6D84"/>
    <w:rsid w:val="003034BB"/>
    <w:rsid w:val="003114F0"/>
    <w:rsid w:val="00332A97"/>
    <w:rsid w:val="00364E71"/>
    <w:rsid w:val="0037157D"/>
    <w:rsid w:val="00386381"/>
    <w:rsid w:val="003930FE"/>
    <w:rsid w:val="003C3F01"/>
    <w:rsid w:val="003D7753"/>
    <w:rsid w:val="00403A7A"/>
    <w:rsid w:val="00410B24"/>
    <w:rsid w:val="00437280"/>
    <w:rsid w:val="0049178B"/>
    <w:rsid w:val="004B1CAA"/>
    <w:rsid w:val="004B63A8"/>
    <w:rsid w:val="004B7015"/>
    <w:rsid w:val="004C5D25"/>
    <w:rsid w:val="004C7C77"/>
    <w:rsid w:val="004D0180"/>
    <w:rsid w:val="005276B8"/>
    <w:rsid w:val="0053583C"/>
    <w:rsid w:val="005735D0"/>
    <w:rsid w:val="005E1E14"/>
    <w:rsid w:val="005E3990"/>
    <w:rsid w:val="005F4B04"/>
    <w:rsid w:val="006411AD"/>
    <w:rsid w:val="006628D6"/>
    <w:rsid w:val="006924E4"/>
    <w:rsid w:val="006E5FAE"/>
    <w:rsid w:val="006F1B63"/>
    <w:rsid w:val="00703ECF"/>
    <w:rsid w:val="007232A7"/>
    <w:rsid w:val="00735866"/>
    <w:rsid w:val="0076069E"/>
    <w:rsid w:val="0077004F"/>
    <w:rsid w:val="007A67D6"/>
    <w:rsid w:val="007D740B"/>
    <w:rsid w:val="008167BE"/>
    <w:rsid w:val="008937AA"/>
    <w:rsid w:val="008963AD"/>
    <w:rsid w:val="008E5C1B"/>
    <w:rsid w:val="009102A2"/>
    <w:rsid w:val="009215C6"/>
    <w:rsid w:val="00975D1F"/>
    <w:rsid w:val="0099799D"/>
    <w:rsid w:val="009D5E20"/>
    <w:rsid w:val="009E7381"/>
    <w:rsid w:val="00A058B8"/>
    <w:rsid w:val="00A440BB"/>
    <w:rsid w:val="00A56A58"/>
    <w:rsid w:val="00A76BAD"/>
    <w:rsid w:val="00AC6A56"/>
    <w:rsid w:val="00AC6F79"/>
    <w:rsid w:val="00AF7863"/>
    <w:rsid w:val="00B25754"/>
    <w:rsid w:val="00B27EC2"/>
    <w:rsid w:val="00BA157E"/>
    <w:rsid w:val="00BB4A43"/>
    <w:rsid w:val="00BF1896"/>
    <w:rsid w:val="00C25F7D"/>
    <w:rsid w:val="00C35338"/>
    <w:rsid w:val="00C521B1"/>
    <w:rsid w:val="00C55477"/>
    <w:rsid w:val="00CF7E75"/>
    <w:rsid w:val="00D36F06"/>
    <w:rsid w:val="00D54EF9"/>
    <w:rsid w:val="00D618A8"/>
    <w:rsid w:val="00D72E0B"/>
    <w:rsid w:val="00D73529"/>
    <w:rsid w:val="00D77486"/>
    <w:rsid w:val="00D926AD"/>
    <w:rsid w:val="00DC14F8"/>
    <w:rsid w:val="00DD1DC0"/>
    <w:rsid w:val="00E23976"/>
    <w:rsid w:val="00E52881"/>
    <w:rsid w:val="00E62022"/>
    <w:rsid w:val="00E637AD"/>
    <w:rsid w:val="00EB4C14"/>
    <w:rsid w:val="00EC51AD"/>
    <w:rsid w:val="00EE2555"/>
    <w:rsid w:val="00F029CF"/>
    <w:rsid w:val="00F2010F"/>
    <w:rsid w:val="00F35BD2"/>
    <w:rsid w:val="00F402FA"/>
    <w:rsid w:val="00F81FCE"/>
    <w:rsid w:val="00F9239F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4B84"/>
  <w15:docId w15:val="{6B15E9A1-2DFC-4186-A6E5-4A92D189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67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character" w:styleId="Textoennegrita">
    <w:name w:val="Strong"/>
    <w:basedOn w:val="Fuentedeprrafopredeter"/>
    <w:uiPriority w:val="22"/>
    <w:qFormat/>
    <w:rsid w:val="00896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3AD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8963AD"/>
    <w:rPr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6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107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0B338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338A"/>
    <w:rPr>
      <w:rFonts w:eastAsiaTheme="minorEastAsia"/>
      <w:lang w:val="en-US" w:eastAsia="zh-CN"/>
    </w:rPr>
  </w:style>
  <w:style w:type="character" w:customStyle="1" w:styleId="a">
    <w:name w:val="Σώμα κειμένου_"/>
    <w:link w:val="1"/>
    <w:locked/>
    <w:rsid w:val="002655F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"/>
    <w:rsid w:val="002655FD"/>
    <w:pPr>
      <w:shd w:val="clear" w:color="auto" w:fill="FFFFFF"/>
      <w:spacing w:before="180" w:line="182" w:lineRule="exact"/>
    </w:pPr>
    <w:rPr>
      <w:rFonts w:ascii="Arial Narrow" w:eastAsiaTheme="minorHAnsi" w:hAnsi="Arial Narrow" w:cstheme="minorBidi"/>
      <w:sz w:val="15"/>
      <w:szCs w:val="15"/>
      <w:shd w:val="clear" w:color="auto" w:fill="FFFFFF"/>
      <w:lang w:val="es-CO" w:eastAsia="en-US"/>
    </w:rPr>
  </w:style>
  <w:style w:type="character" w:customStyle="1" w:styleId="6">
    <w:name w:val="Σώμα κειμένου (6)"/>
    <w:rsid w:val="002655FD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a0">
    <w:name w:val="Σώμα κειμένου"/>
    <w:rsid w:val="002655FD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1SimHei1">
    <w:name w:val="Επικεφαλίδα #1 + SimHei1"/>
    <w:aliases w:val="Διάστιχο 0 στ.,Σώμα κειμένου (2) + 32,5 στ.,Χωρίς πλάγια γραφή,Σώμα κειμένου (4) + 30,Διάστιχο 1 στ.,Επικεφαλίδα #1 (2) + Aharoni,37,Διάστιχο 3 στ.,Επικεφαλίδα #1 + 36,Σώμα κειμένου + 9"/>
    <w:rsid w:val="002655FD"/>
    <w:rPr>
      <w:rFonts w:ascii="SimHei" w:eastAsia="SimHei" w:hAnsi="Palatino Linotype" w:cs="SimHei" w:hint="eastAsia"/>
      <w:b/>
      <w:bCs/>
      <w:i/>
      <w:iCs/>
      <w:spacing w:val="0"/>
      <w:sz w:val="61"/>
      <w:szCs w:val="61"/>
      <w:shd w:val="clear" w:color="auto" w:fill="FFFFFF"/>
    </w:rPr>
  </w:style>
  <w:style w:type="character" w:customStyle="1" w:styleId="42">
    <w:name w:val="Επικεφαλίδα #42"/>
    <w:rsid w:val="002655FD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5">
    <w:name w:val="Σώμα κειμένου (5)"/>
    <w:basedOn w:val="Fuentedeprrafopredeter"/>
    <w:uiPriority w:val="99"/>
    <w:rsid w:val="002655FD"/>
    <w:rPr>
      <w:rFonts w:ascii="Arial Narrow" w:hAnsi="Arial Narrow"/>
      <w:sz w:val="15"/>
      <w:szCs w:val="15"/>
      <w:shd w:val="clear" w:color="auto" w:fill="FFFFFF"/>
      <w:lang w:bidi="ar-SA"/>
    </w:rPr>
  </w:style>
  <w:style w:type="character" w:customStyle="1" w:styleId="35">
    <w:name w:val="Σώμα κειμένου (3) + 5"/>
    <w:aliases w:val="5 στ.5"/>
    <w:rsid w:val="002655FD"/>
    <w:rPr>
      <w:rFonts w:ascii="Arial Narrow" w:hAnsi="Arial Narrow" w:cs="Arial Narrow" w:hint="default"/>
      <w:b/>
      <w:bCs/>
      <w:w w:val="100"/>
      <w:sz w:val="11"/>
      <w:szCs w:val="11"/>
      <w:shd w:val="clear" w:color="auto" w:fill="FFFFFF"/>
    </w:rPr>
  </w:style>
  <w:style w:type="character" w:customStyle="1" w:styleId="7">
    <w:name w:val="Σώμα κειμένου (7)"/>
    <w:rsid w:val="002655FD"/>
    <w:rPr>
      <w:rFonts w:ascii="Arial Narrow" w:hAnsi="Arial Narrow" w:cs="Arial Narrow" w:hint="default"/>
      <w:b/>
      <w:bCs/>
      <w:sz w:val="13"/>
      <w:szCs w:val="13"/>
      <w:shd w:val="clear" w:color="auto" w:fill="FFFFFF"/>
    </w:rPr>
  </w:style>
  <w:style w:type="character" w:customStyle="1" w:styleId="37">
    <w:name w:val="Σώμα κειμένου (3) + 7 στ."/>
    <w:rsid w:val="002655FD"/>
    <w:rPr>
      <w:rFonts w:ascii="Arial Narrow" w:hAnsi="Arial Narrow" w:cs="Arial Narrow"/>
      <w:b/>
      <w:bCs/>
      <w:w w:val="100"/>
      <w:sz w:val="14"/>
      <w:szCs w:val="14"/>
      <w:shd w:val="clear" w:color="auto" w:fill="FFFFFF"/>
    </w:rPr>
  </w:style>
  <w:style w:type="paragraph" w:customStyle="1" w:styleId="10">
    <w:name w:val="1"/>
    <w:basedOn w:val="Normal"/>
    <w:rsid w:val="002655FD"/>
    <w:pPr>
      <w:shd w:val="clear" w:color="auto" w:fill="FFFFFF"/>
      <w:spacing w:before="180" w:line="182" w:lineRule="atLeast"/>
    </w:pPr>
    <w:rPr>
      <w:rFonts w:ascii="Arial Narrow" w:eastAsia="Calibri" w:hAnsi="Arial Narrow"/>
      <w:sz w:val="16"/>
      <w:szCs w:val="16"/>
      <w:lang w:val="en-US" w:eastAsia="zh-CN"/>
    </w:rPr>
  </w:style>
  <w:style w:type="paragraph" w:customStyle="1" w:styleId="411">
    <w:name w:val="411"/>
    <w:basedOn w:val="Normal"/>
    <w:rsid w:val="002655FD"/>
    <w:pPr>
      <w:shd w:val="clear" w:color="auto" w:fill="FFFFFF"/>
      <w:spacing w:before="420" w:line="374" w:lineRule="atLeast"/>
    </w:pPr>
    <w:rPr>
      <w:rFonts w:ascii="Arial Narrow" w:eastAsia="Calibri" w:hAnsi="Arial Narrow"/>
      <w:b/>
      <w:bCs/>
      <w:sz w:val="16"/>
      <w:szCs w:val="16"/>
      <w:lang w:val="en-US" w:eastAsia="zh-CN"/>
    </w:rPr>
  </w:style>
  <w:style w:type="character" w:customStyle="1" w:styleId="4">
    <w:name w:val="Επικεφαλίδα #4"/>
    <w:rsid w:val="002655FD"/>
    <w:rPr>
      <w:rFonts w:ascii="Arial Narrow" w:hAnsi="Arial Narrow" w:hint="default"/>
      <w:b w:val="0"/>
      <w:bCs w:val="0"/>
      <w:spacing w:val="0"/>
      <w:shd w:val="clear" w:color="auto" w:fill="FFFFFF"/>
    </w:rPr>
  </w:style>
  <w:style w:type="character" w:customStyle="1" w:styleId="32">
    <w:name w:val="Επικεφαλίδα #32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40">
    <w:name w:val="40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apple-converted-space">
    <w:name w:val="apple-converted-space"/>
    <w:rsid w:val="002655FD"/>
  </w:style>
  <w:style w:type="character" w:customStyle="1" w:styleId="38">
    <w:name w:val="Σώμα κειμένου (3) + 8 στ."/>
    <w:aliases w:val="Χωρίς έντονη γραφή,Σώμα κειμένου (2) + 8 στ."/>
    <w:rsid w:val="002655FD"/>
    <w:rPr>
      <w:rFonts w:ascii="Arial Narrow" w:hAnsi="Arial Narrow" w:hint="default"/>
      <w:spacing w:val="0"/>
    </w:rPr>
  </w:style>
  <w:style w:type="character" w:customStyle="1" w:styleId="41">
    <w:name w:val="Σώμα κειμένου (4)"/>
    <w:uiPriority w:val="99"/>
    <w:rsid w:val="002655FD"/>
    <w:rPr>
      <w:rFonts w:ascii="Arial Narrow" w:hAnsi="Arial Narrow" w:cs="Arial Narrow"/>
      <w:sz w:val="16"/>
      <w:szCs w:val="16"/>
      <w:shd w:val="clear" w:color="auto" w:fill="FFFFFF"/>
    </w:rPr>
  </w:style>
  <w:style w:type="table" w:customStyle="1" w:styleId="TableGrid13">
    <w:name w:val="Table Grid13"/>
    <w:basedOn w:val="Tablanormal"/>
    <w:next w:val="Tablaconcuadrcula"/>
    <w:uiPriority w:val="59"/>
    <w:rsid w:val="008E5C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DF82CF-B2C8-47C4-B292-97005E61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2</cp:revision>
  <dcterms:created xsi:type="dcterms:W3CDTF">2024-02-13T16:11:00Z</dcterms:created>
  <dcterms:modified xsi:type="dcterms:W3CDTF">2024-02-13T16:11:00Z</dcterms:modified>
</cp:coreProperties>
</file>